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B538" w14:textId="649BC38E" w:rsidR="00337238" w:rsidRPr="00337238" w:rsidRDefault="00753C37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Formål</w:t>
      </w:r>
    </w:p>
    <w:p w14:paraId="08C1A286" w14:textId="2BAD51D7" w:rsidR="003238A5" w:rsidRDefault="00105C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Rutinen skal bidra til at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753C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og </w:t>
      </w:r>
      <w:r w:rsidR="00D24B7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vårt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samarbeid med leverandører 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fremmer åpenhetslovens formål</w:t>
      </w:r>
      <w:r w:rsidR="00E35042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. </w:t>
      </w:r>
      <w:r w:rsidR="0084522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Det innebærer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3238A5" w:rsidRP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respekt for grunnleggende menneskerettigheter og anstendige arbeidsforhold i forbindelse med produksjon av varer og levering av tjenester, og </w:t>
      </w:r>
      <w:r w:rsidR="0084522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å </w:t>
      </w:r>
      <w:r w:rsidR="003238A5" w:rsidRP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sikre allmennheten tilgang til informasjon om hvordan virksomheter håndterer negative konsekvenser for grunnleggende menneskerettigheter og anstendige arbeidsforhold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</w:t>
      </w:r>
    </w:p>
    <w:p w14:paraId="13F7D167" w14:textId="12F19225" w:rsidR="003238A5" w:rsidRDefault="003238A5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36A93A2" w14:textId="1B850591" w:rsidR="003F00B7" w:rsidRDefault="00105C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skal sikre at vår virksomhet 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oppfyller krav til </w:t>
      </w:r>
      <w:r w:rsidR="003F00B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å utføre og redegjøre for 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aktsomhetsvurderinger, </w:t>
      </w:r>
      <w:r w:rsidR="003F00B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samt ivareta informasjonsplikten i åpenhetsloven.</w:t>
      </w:r>
      <w:r w:rsidR="009A7C53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7A8ECCAF" w14:textId="77777777" w:rsidR="003F00B7" w:rsidRDefault="003F00B7" w:rsidP="009A7C53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4F3BE54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Omfang</w:t>
      </w:r>
    </w:p>
    <w:p w14:paraId="45D98EE5" w14:textId="41207479" w:rsidR="00337238" w:rsidRPr="00337238" w:rsidRDefault="00E23DFD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omfatter </w:t>
      </w:r>
      <w:r w:rsidR="00BB6D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aktsomhetsvurderinger knyttet til 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direkte og indirekte innkjøp i </w:t>
      </w:r>
      <w:r w:rsidR="003238A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vår virksomhet</w:t>
      </w:r>
      <w:r w:rsidR="00BB6D3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 Aktsomhetsvurderingen skjer etter en risikobasert tilnærming.</w:t>
      </w:r>
      <w:r w:rsidR="003A797F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br/>
      </w:r>
    </w:p>
    <w:p w14:paraId="464BB87D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Ansvar</w:t>
      </w:r>
    </w:p>
    <w:p w14:paraId="00D3DB5E" w14:textId="4AD5508B" w:rsidR="00704F88" w:rsidRDefault="00E23DFD" w:rsidP="00704F88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Administrerende direktør er overordnet ansvarlig for 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rutinen </w:t>
      </w:r>
      <w:r w:rsidR="003F4FC6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og 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skal 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i samråd med fagansvarlige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sikre at det 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blir 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gjennomfør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t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aktsomhetsvurderinger i</w:t>
      </w:r>
      <w:r w:rsidR="00D50C57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de ulike deler av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vår virksomhets</w:t>
      </w: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forretningsområde</w:t>
      </w:r>
      <w:r w:rsidR="00704F88"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r</w:t>
      </w:r>
      <w:r w:rsid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.</w:t>
      </w:r>
    </w:p>
    <w:p w14:paraId="61F17052" w14:textId="75ACCA25" w:rsidR="00337238" w:rsidRPr="00704F88" w:rsidRDefault="00704F88" w:rsidP="00704F88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704F88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</w:p>
    <w:p w14:paraId="066EDCA0" w14:textId="77777777" w:rsidR="00337238" w:rsidRPr="00337238" w:rsidRDefault="00337238" w:rsidP="003A797F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337238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Beskrivelse</w:t>
      </w:r>
    </w:p>
    <w:p w14:paraId="7CB0CEB6" w14:textId="0399AA3A" w:rsidR="005071C5" w:rsidRDefault="00A8656C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G</w:t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jennomføring av aktsomhetsvurdering</w:t>
      </w:r>
      <w:r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er</w:t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</w:t>
      </w:r>
      <w:r w:rsidR="005C6977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skal baseres på</w:t>
      </w:r>
      <w:r w:rsidR="005071C5" w:rsidRPr="005071C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OECDs modell for aktsomhetsvurderinger for ansvarlig næringsli</w:t>
      </w:r>
      <w:r w:rsidR="005071C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v</w:t>
      </w:r>
      <w:r w:rsidR="00D24B75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>:</w:t>
      </w:r>
    </w:p>
    <w:p w14:paraId="24D26908" w14:textId="1DA42479" w:rsidR="003F4FC6" w:rsidRDefault="005C6977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  <w:r w:rsidRPr="00054E0F">
        <w:rPr>
          <w:rFonts w:ascii="Segoe UI" w:eastAsia="Times New Roman" w:hAnsi="Segoe UI" w:cs="Segoe UI"/>
          <w:noProof/>
          <w:color w:val="323130"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7481806E" wp14:editId="38A967F0">
            <wp:simplePos x="0" y="0"/>
            <wp:positionH relativeFrom="column">
              <wp:posOffset>632893</wp:posOffset>
            </wp:positionH>
            <wp:positionV relativeFrom="paragraph">
              <wp:posOffset>116502</wp:posOffset>
            </wp:positionV>
            <wp:extent cx="4247044" cy="3277040"/>
            <wp:effectExtent l="0" t="0" r="127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7044" cy="327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FC6"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  <w:t xml:space="preserve">  </w:t>
      </w:r>
    </w:p>
    <w:p w14:paraId="2D05E5F6" w14:textId="2E01FF19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8D29B06" w14:textId="429B6184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CC67167" w14:textId="48A4DCE3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09619F9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589CF75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62DAFE6D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C6A5ED6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C9CA5AF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B0C3DE7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35AA7FAE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045D64C0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1D359C64" w14:textId="77777777" w:rsidR="00054E0F" w:rsidRDefault="00054E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76D3D50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3CF2FC0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5196759E" w14:textId="77777777" w:rsidR="00704F88" w:rsidRDefault="00704F88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17C24F0" w14:textId="77777777" w:rsidR="0084522F" w:rsidRDefault="0084522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22A3ACDC" w14:textId="77777777" w:rsidR="00992390" w:rsidRPr="005B6296" w:rsidRDefault="00992390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0"/>
          <w:szCs w:val="20"/>
          <w:lang w:eastAsia="nb-NO"/>
        </w:rPr>
      </w:pPr>
    </w:p>
    <w:p w14:paraId="734FE397" w14:textId="41B29037" w:rsidR="0084522F" w:rsidRDefault="0084522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0"/>
          <w:szCs w:val="20"/>
          <w:lang w:eastAsia="nb-NO"/>
        </w:rPr>
      </w:pPr>
    </w:p>
    <w:p w14:paraId="10BEB72B" w14:textId="62A1C6AE" w:rsidR="003F4FC6" w:rsidRPr="00C472C0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Gjennomføring av aktsomhetsvurderinger</w:t>
      </w:r>
    </w:p>
    <w:p w14:paraId="43F43569" w14:textId="1A2414F9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Aktsomhetsvurderinger skal gjennomføres etter følgende arbeidsmetodikk: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br/>
      </w:r>
    </w:p>
    <w:p w14:paraId="5031A946" w14:textId="33F29AC2" w:rsidR="00D24B75" w:rsidRPr="00ED274F" w:rsidRDefault="003F4FC6" w:rsidP="003F4FC6">
      <w:pPr>
        <w:pStyle w:val="Listeavsnitt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D</w:t>
      </w:r>
      <w:r w:rsidR="000B5955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et skal </w:t>
      </w:r>
      <w:r w:rsidR="00C03432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avholdes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arbeidsmøte for gjennomføring av aktsomhetsvurderinger </w:t>
      </w:r>
      <w:r w:rsidR="00FA683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minst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1 gang år </w:t>
      </w:r>
    </w:p>
    <w:p w14:paraId="18173150" w14:textId="21A78DAB" w:rsidR="00645CCA" w:rsidRPr="00ED274F" w:rsidRDefault="003F4FC6" w:rsidP="00D24B75">
      <w:pPr>
        <w:pStyle w:val="Listeavsnitt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I arbeidsmøtet foretas </w:t>
      </w:r>
      <w:r w:rsidR="0042530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risikokartlegging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knyttet til </w:t>
      </w:r>
      <w:r w:rsidR="00645CCA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våre innkjøp av varer og tjenester</w:t>
      </w:r>
      <w:r w:rsidR="00D24B75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0A011E24" w14:textId="2D463BE6" w:rsidR="00CB2E80" w:rsidRPr="00ED274F" w:rsidRDefault="00645CCA" w:rsidP="00645CCA">
      <w:pPr>
        <w:pStyle w:val="Listeavsnitt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Vi skal søke</w:t>
      </w:r>
      <w:r w:rsidR="009A5AE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tilgjengelig informasjon om leverandørkjeder og kartlegging av risiko fra bransjeforeninger som vi er tilknyttet og fra andre aktører </w:t>
      </w:r>
      <w:r w:rsidR="00D24B75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6FAB43DB" w14:textId="18572039" w:rsidR="00164A53" w:rsidRPr="00ED274F" w:rsidRDefault="00164A53" w:rsidP="00164A53">
      <w:pPr>
        <w:pStyle w:val="Listeavsnitt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Basert på risikokartlegging og prioritering/vesentlighetsvurdering skal områder for forbedring og tiltak prioriteres</w:t>
      </w:r>
    </w:p>
    <w:p w14:paraId="5776B409" w14:textId="13ACA407" w:rsidR="00645CCA" w:rsidRPr="00ED274F" w:rsidRDefault="00645CCA" w:rsidP="00645CCA">
      <w:pPr>
        <w:pStyle w:val="Listeavsnitt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Resultatet av risikokartlegging dokumenteres i en skriftlig redegjørelse. 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Den skriftlige redegjørelsen fra våre</w:t>
      </w:r>
      <w:r w:rsidR="009A5AE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3F4FC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aktsomhetsvurderinge</w:t>
      </w:r>
      <w:r w:rsidR="009A5AE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r</w:t>
      </w:r>
      <w:r w:rsidR="003F4FC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legges i tråd med åpenhetsloven ut lett tilgjengelig på vår virksomhets nettside </w:t>
      </w:r>
    </w:p>
    <w:p w14:paraId="59385D89" w14:textId="1ACF4A4B" w:rsidR="003F4FC6" w:rsidRPr="00ED274F" w:rsidRDefault="00FE099D" w:rsidP="003F4FC6">
      <w:pPr>
        <w:pStyle w:val="Listeavsnitt"/>
        <w:numPr>
          <w:ilvl w:val="0"/>
          <w:numId w:val="6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Vi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opplyser i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tråd med åpenhetsloven i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år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sberetningen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om hvor redegjørelsen er tilgjengelig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og oppdaterer og offentliggjør redegjørelsen innen 30</w:t>
      </w:r>
      <w:r w:rsidR="00CC2829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.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juni hvert år</w:t>
      </w:r>
    </w:p>
    <w:p w14:paraId="232A06CC" w14:textId="70DA7112" w:rsidR="00F7088E" w:rsidRPr="00822334" w:rsidRDefault="00F7088E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24"/>
          <w:szCs w:val="24"/>
          <w:lang w:eastAsia="nb-NO"/>
        </w:rPr>
      </w:pPr>
    </w:p>
    <w:p w14:paraId="0730A5BF" w14:textId="1D61D9D8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Tiltak</w:t>
      </w:r>
      <w:r w:rsidR="00303AE7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 xml:space="preserve"> for å stanse, </w:t>
      </w:r>
      <w:r w:rsidR="00375082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forebygge og</w:t>
      </w:r>
      <w:r w:rsidR="00303AE7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 xml:space="preserve"> redus</w:t>
      </w:r>
      <w:r w:rsidR="00375082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e</w:t>
      </w:r>
      <w:r w:rsidR="00303AE7"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re negativ påvirkning/skade</w:t>
      </w:r>
    </w:p>
    <w:p w14:paraId="7E21DBA2" w14:textId="53BDB994" w:rsidR="007E647B" w:rsidRPr="00ED274F" w:rsidRDefault="007E647B" w:rsidP="001C43A7">
      <w:pPr>
        <w:pStyle w:val="Listeavsnitt"/>
        <w:numPr>
          <w:ilvl w:val="0"/>
          <w:numId w:val="7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Basert på </w:t>
      </w:r>
      <w:r w:rsidR="0042530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risikokartlegging og prioritering</w:t>
      </w:r>
      <w:r w:rsidR="00EF58D4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/vesentlighetsvurdering</w:t>
      </w:r>
      <w:r w:rsidR="0042530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skal konkrete tiltak vurderes og besluttes av </w:t>
      </w:r>
      <w:r w:rsidR="00164A5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fagansvarlige</w:t>
      </w:r>
      <w:r w:rsidR="001C43A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69A2219E" w14:textId="3C49E466" w:rsidR="00982E62" w:rsidRPr="00ED274F" w:rsidRDefault="00982E62" w:rsidP="006C5E41">
      <w:pPr>
        <w:pStyle w:val="Listeavsnitt"/>
        <w:numPr>
          <w:ilvl w:val="0"/>
          <w:numId w:val="7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Tiltak kan gjennomføres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d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irekte ovenfor leverandører/grossister fra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 virksomhet eller ved en felleshenvendelse fra bransjen gjennom bransjeforening</w:t>
      </w:r>
      <w:r w:rsidR="001C43A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eller andre samarbeidspartnere</w:t>
      </w:r>
    </w:p>
    <w:p w14:paraId="3F89435C" w14:textId="77777777" w:rsidR="00303AE7" w:rsidRPr="00ED274F" w:rsidRDefault="00303AE7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</w:pPr>
    </w:p>
    <w:p w14:paraId="59EA9222" w14:textId="13500E60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u w:val="single"/>
          <w:lang w:eastAsia="nb-NO"/>
        </w:rPr>
        <w:t>Endringer:</w:t>
      </w:r>
    </w:p>
    <w:p w14:paraId="50E0D757" w14:textId="5A0BA8B9" w:rsidR="003F4FC6" w:rsidRPr="00ED274F" w:rsidRDefault="005C6977" w:rsidP="003A797F">
      <w:pPr>
        <w:pStyle w:val="Listeavsnitt"/>
        <w:numPr>
          <w:ilvl w:val="0"/>
          <w:numId w:val="8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Dersom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 virksomhet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innen et innkjøpsområde blir kjent med at det kan være vesentlige endringer i leverandørkjede</w:t>
      </w:r>
      <w:r w:rsidR="00854D8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r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skal </w:t>
      </w:r>
      <w:r w:rsidR="006C5E4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fagansvarlige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følge opp dette og eventuelt sørge for revidering av aktsomhetsvurderinger</w:t>
      </w:r>
      <w:r w:rsidR="00595289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og dokumentere dette </w:t>
      </w:r>
      <w:r w:rsidR="0079734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i en skriftlig redegjørelse</w:t>
      </w:r>
    </w:p>
    <w:p w14:paraId="36363663" w14:textId="11FED81D" w:rsidR="00992390" w:rsidRPr="00C472C0" w:rsidRDefault="0085240F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br/>
      </w: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Oppfølging av tiltak og deres effekt</w:t>
      </w:r>
    </w:p>
    <w:p w14:paraId="5C96209C" w14:textId="77777777" w:rsidR="004E2024" w:rsidRDefault="00CE0B7F" w:rsidP="003A797F">
      <w:pPr>
        <w:pStyle w:val="Listeavsnitt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I </w:t>
      </w:r>
      <w:r w:rsidR="00BA2BF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arbeids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møtet</w:t>
      </w:r>
      <w:r w:rsidR="00BA2BF7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(ref. punktet om aktsomhetsvurderinger over)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skal</w:t>
      </w:r>
      <w:r w:rsidR="006B1AC9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300B9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fagansvarlige/innkjøpere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,</w:t>
      </w:r>
      <w:r w:rsidR="00611793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sørge </w:t>
      </w:r>
      <w:r w:rsidR="00C07B50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for oppfølging og evaluering av tiltak</w:t>
      </w:r>
    </w:p>
    <w:p w14:paraId="229693AB" w14:textId="261A5E08" w:rsidR="00823865" w:rsidRPr="00ED274F" w:rsidRDefault="00C07B50" w:rsidP="004E2024">
      <w:pPr>
        <w:pStyle w:val="Listeavsnitt"/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07E691DE" w14:textId="78B59CA9" w:rsidR="00893696" w:rsidRPr="00C472C0" w:rsidRDefault="0089369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Avvik</w:t>
      </w:r>
    </w:p>
    <w:p w14:paraId="1745F409" w14:textId="5CC34C56" w:rsidR="002735E1" w:rsidRPr="00ED274F" w:rsidRDefault="00AB6E91" w:rsidP="00893696">
      <w:pPr>
        <w:pStyle w:val="Listeavsnitt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Ved mistanke om brudd på </w:t>
      </w:r>
      <w:r w:rsidR="00BE595E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kontraktsforpliktelser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BE595E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knyttet til åpenhetsloven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skal avvik meldes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300B9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</w:t>
      </w:r>
    </w:p>
    <w:p w14:paraId="1BE368C1" w14:textId="7C5FDF10" w:rsidR="002735E1" w:rsidRPr="00ED274F" w:rsidRDefault="00300B91" w:rsidP="00893696">
      <w:pPr>
        <w:pStyle w:val="Listeavsnitt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vil følge opp ovenfor innkjøp og respektiv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e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leverandør til 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vår virksomhet</w:t>
      </w:r>
      <w:r w:rsidR="002735E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</w:p>
    <w:p w14:paraId="136E2DFB" w14:textId="559E1C7F" w:rsidR="00893696" w:rsidRPr="00ED274F" w:rsidRDefault="002735E1" w:rsidP="00893696">
      <w:pPr>
        <w:pStyle w:val="Listeavsnitt"/>
        <w:numPr>
          <w:ilvl w:val="0"/>
          <w:numId w:val="9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Avvik</w:t>
      </w:r>
      <w:r w:rsidR="00E13542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sbehandling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dokumenteres i</w:t>
      </w:r>
      <w:r w:rsidR="00300B91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en skriftlig redegjørelse</w:t>
      </w:r>
    </w:p>
    <w:p w14:paraId="47081D84" w14:textId="77777777" w:rsidR="003F4FC6" w:rsidRPr="00ED274F" w:rsidRDefault="003F4FC6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</w:p>
    <w:p w14:paraId="06EA710A" w14:textId="3747001E" w:rsidR="00520DDE" w:rsidRPr="00C472C0" w:rsidRDefault="00196DB1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Behandling av informasjonskrav</w:t>
      </w:r>
    </w:p>
    <w:p w14:paraId="1AB28FE6" w14:textId="5A66E87D" w:rsidR="00196DB1" w:rsidRDefault="00196DB1" w:rsidP="004E2024">
      <w:pPr>
        <w:pStyle w:val="Listeavsnitt"/>
        <w:numPr>
          <w:ilvl w:val="0"/>
          <w:numId w:val="10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Enhver </w:t>
      </w:r>
      <w:r w:rsidR="00D002B8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har</w:t>
      </w: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ihht.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åpenhetsloven </w:t>
      </w:r>
      <w:r w:rsidR="004376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ed skriftlig forespørsel</w:t>
      </w:r>
      <w:r w:rsidR="005C2FB5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rett på informasjon om hvordan </w:t>
      </w:r>
      <w:r w:rsidR="00300B91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vår virksomhet 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håndterer faktiske og </w:t>
      </w:r>
      <w:proofErr w:type="gramStart"/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potensielle</w:t>
      </w:r>
      <w:proofErr w:type="gramEnd"/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negative konsekvenser </w:t>
      </w:r>
      <w:r w:rsidR="007A01A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knyttet </w:t>
      </w:r>
      <w:r w:rsidR="00537844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menneskerettigheter og anstendige arbeidsforhold </w:t>
      </w:r>
      <w:r w:rsidR="003A7C5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i våre leverandørkjeder</w:t>
      </w:r>
      <w:r w:rsidR="00CF2D90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. Dette omfatter både generell informasjon og informasjon knyttet til en særskilt vare eller tjeneste som virksomheten tilbyr</w:t>
      </w:r>
    </w:p>
    <w:p w14:paraId="45E84373" w14:textId="0755879C" w:rsidR="001D103C" w:rsidRPr="004E2024" w:rsidRDefault="001D103C" w:rsidP="003A797F">
      <w:pPr>
        <w:pStyle w:val="Listeavsnitt"/>
        <w:numPr>
          <w:ilvl w:val="0"/>
          <w:numId w:val="10"/>
        </w:num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Dersom </w:t>
      </w:r>
      <w:r w:rsidR="00D002B8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vi</w:t>
      </w:r>
      <w:r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mottar 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krav om </w:t>
      </w:r>
      <w:r w:rsidR="00D002B8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informasjon,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skal </w:t>
      </w:r>
      <w:r w:rsidR="00300B91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fagansvarlig/ i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nnkjøp</w:t>
      </w:r>
      <w:r w:rsidR="00300B91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er</w:t>
      </w:r>
      <w:r w:rsidR="0079041C" w:rsidRPr="004E2024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kontaktes for besvarelse og håndtering av informasjonskravet</w:t>
      </w:r>
    </w:p>
    <w:p w14:paraId="56DAD89C" w14:textId="77777777" w:rsidR="00520DDE" w:rsidRPr="00C472C0" w:rsidRDefault="00520DDE" w:rsidP="003A797F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32"/>
          <w:szCs w:val="32"/>
          <w:lang w:eastAsia="nb-NO"/>
        </w:rPr>
      </w:pPr>
    </w:p>
    <w:p w14:paraId="204D3A92" w14:textId="0B10653B" w:rsidR="007E647B" w:rsidRPr="00C472C0" w:rsidRDefault="00337238" w:rsidP="002C2656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</w:pPr>
      <w:r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>Referanser</w:t>
      </w:r>
      <w:r w:rsidR="002C2656" w:rsidRPr="00C472C0">
        <w:rPr>
          <w:rFonts w:ascii="Segoe UI" w:eastAsia="Times New Roman" w:hAnsi="Segoe UI" w:cs="Segoe UI"/>
          <w:b/>
          <w:bCs/>
          <w:color w:val="323130"/>
          <w:sz w:val="32"/>
          <w:szCs w:val="32"/>
          <w:lang w:eastAsia="nb-NO"/>
        </w:rPr>
        <w:t xml:space="preserve"> og tilknyttede dokumenter</w:t>
      </w:r>
    </w:p>
    <w:p w14:paraId="30582646" w14:textId="77777777" w:rsidR="002C2656" w:rsidRPr="00ED274F" w:rsidRDefault="007E647B" w:rsidP="00191033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24"/>
          <w:szCs w:val="24"/>
          <w:lang w:eastAsia="nb-NO"/>
        </w:rPr>
      </w:pP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Lov om virksomheters åpenhet og arbeid med grunnleggende menneskerettigheter og anstendige arbeidsforhold (åpenhetsloven</w:t>
      </w:r>
      <w:r w:rsidR="002C265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,</w:t>
      </w:r>
      <w:r w:rsidR="002C2656" w:rsidRPr="00ED274F">
        <w:rPr>
          <w:sz w:val="24"/>
          <w:szCs w:val="24"/>
        </w:rPr>
        <w:t xml:space="preserve"> </w:t>
      </w:r>
      <w:r w:rsidR="002C2656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LOV-2021-06-18-99</w:t>
      </w:r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)</w:t>
      </w:r>
    </w:p>
    <w:p w14:paraId="40A0CD4B" w14:textId="249D9AF4" w:rsidR="00671BBC" w:rsidRPr="00ED274F" w:rsidRDefault="002C2656" w:rsidP="00191033">
      <w:pPr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323130"/>
          <w:sz w:val="24"/>
          <w:szCs w:val="24"/>
          <w:lang w:eastAsia="nb-NO"/>
        </w:rPr>
      </w:pPr>
      <w:proofErr w:type="spellStart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BNLs</w:t>
      </w:r>
      <w:proofErr w:type="spellEnd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veileder for valg av seriøse aktører med henvisning til åpenhetsloven og relevante </w:t>
      </w:r>
      <w:proofErr w:type="spellStart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maldokumenter</w:t>
      </w:r>
      <w:proofErr w:type="spellEnd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(mal for avklaringsmøte, samt spesielle </w:t>
      </w:r>
      <w:proofErr w:type="spellStart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>kontraktsbestemmelser</w:t>
      </w:r>
      <w:proofErr w:type="spellEnd"/>
      <w:r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t xml:space="preserve"> mv.)</w:t>
      </w:r>
      <w:r w:rsidR="007E647B" w:rsidRPr="00ED274F"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  <w:br/>
      </w:r>
    </w:p>
    <w:p w14:paraId="51D1DD5D" w14:textId="05580C6A" w:rsidR="003F7B56" w:rsidRPr="00ED274F" w:rsidRDefault="003F7B56" w:rsidP="00671BBC">
      <w:pPr>
        <w:shd w:val="clear" w:color="auto" w:fill="FFFFFF"/>
        <w:spacing w:after="0" w:line="336" w:lineRule="atLeast"/>
        <w:rPr>
          <w:rFonts w:ascii="Segoe UI" w:eastAsia="Times New Roman" w:hAnsi="Segoe UI" w:cs="Segoe UI"/>
          <w:color w:val="323130"/>
          <w:sz w:val="24"/>
          <w:szCs w:val="24"/>
          <w:lang w:eastAsia="nb-NO"/>
        </w:rPr>
      </w:pPr>
    </w:p>
    <w:sectPr w:rsidR="003F7B56" w:rsidRPr="00ED274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D10E7" w14:textId="77777777" w:rsidR="006B52CE" w:rsidRDefault="006B52CE" w:rsidP="00F803C8">
      <w:pPr>
        <w:spacing w:after="0" w:line="240" w:lineRule="auto"/>
      </w:pPr>
      <w:r>
        <w:separator/>
      </w:r>
    </w:p>
  </w:endnote>
  <w:endnote w:type="continuationSeparator" w:id="0">
    <w:p w14:paraId="2DC27C3A" w14:textId="77777777" w:rsidR="006B52CE" w:rsidRDefault="006B52CE" w:rsidP="00F8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64796"/>
      <w:docPartObj>
        <w:docPartGallery w:val="Page Numbers (Bottom of Page)"/>
        <w:docPartUnique/>
      </w:docPartObj>
    </w:sdtPr>
    <w:sdtEndPr/>
    <w:sdtContent>
      <w:p w14:paraId="1B4F41AC" w14:textId="7396FD36" w:rsidR="00375082" w:rsidRDefault="0037508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DC568F" w14:textId="77777777" w:rsidR="00375082" w:rsidRDefault="003750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CE2C" w14:textId="77777777" w:rsidR="006B52CE" w:rsidRDefault="006B52CE" w:rsidP="00F803C8">
      <w:pPr>
        <w:spacing w:after="0" w:line="240" w:lineRule="auto"/>
      </w:pPr>
      <w:r>
        <w:separator/>
      </w:r>
    </w:p>
  </w:footnote>
  <w:footnote w:type="continuationSeparator" w:id="0">
    <w:p w14:paraId="412D0FB4" w14:textId="77777777" w:rsidR="006B52CE" w:rsidRDefault="006B52CE" w:rsidP="00F8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DA4C" w14:textId="3BA92350" w:rsidR="00F803C8" w:rsidRPr="00ED274F" w:rsidRDefault="00753C37">
    <w:pPr>
      <w:pStyle w:val="Topptekst"/>
      <w:rPr>
        <w:rFonts w:ascii="Segoe UI" w:hAnsi="Segoe UI" w:cs="Segoe UI"/>
        <w:b/>
        <w:bCs/>
      </w:rPr>
    </w:pPr>
    <w:r w:rsidRPr="00ED274F">
      <w:rPr>
        <w:rFonts w:ascii="Segoe UI" w:hAnsi="Segoe UI" w:cs="Segoe UI"/>
        <w:b/>
        <w:bCs/>
      </w:rPr>
      <w:t>Rutine for oppfyllelse av plikter etter åpenhetsloven for (XX navn XX)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30F"/>
    <w:multiLevelType w:val="hybridMultilevel"/>
    <w:tmpl w:val="A7ECA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44E3"/>
    <w:multiLevelType w:val="multilevel"/>
    <w:tmpl w:val="087C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D04E4"/>
    <w:multiLevelType w:val="hybridMultilevel"/>
    <w:tmpl w:val="A69A1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251D"/>
    <w:multiLevelType w:val="hybridMultilevel"/>
    <w:tmpl w:val="EC1A3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A272F"/>
    <w:multiLevelType w:val="hybridMultilevel"/>
    <w:tmpl w:val="D870E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F19D7"/>
    <w:multiLevelType w:val="multilevel"/>
    <w:tmpl w:val="F38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FD4974"/>
    <w:multiLevelType w:val="hybridMultilevel"/>
    <w:tmpl w:val="3F54F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418C"/>
    <w:multiLevelType w:val="hybridMultilevel"/>
    <w:tmpl w:val="A5C4D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B041F"/>
    <w:multiLevelType w:val="hybridMultilevel"/>
    <w:tmpl w:val="94088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25BF1"/>
    <w:multiLevelType w:val="multilevel"/>
    <w:tmpl w:val="07DE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226273">
    <w:abstractNumId w:val="9"/>
  </w:num>
  <w:num w:numId="2" w16cid:durableId="250310609">
    <w:abstractNumId w:val="5"/>
  </w:num>
  <w:num w:numId="3" w16cid:durableId="1433279383">
    <w:abstractNumId w:val="1"/>
  </w:num>
  <w:num w:numId="4" w16cid:durableId="982272947">
    <w:abstractNumId w:val="2"/>
  </w:num>
  <w:num w:numId="5" w16cid:durableId="706150796">
    <w:abstractNumId w:val="7"/>
  </w:num>
  <w:num w:numId="6" w16cid:durableId="2032413210">
    <w:abstractNumId w:val="4"/>
  </w:num>
  <w:num w:numId="7" w16cid:durableId="1582988839">
    <w:abstractNumId w:val="6"/>
  </w:num>
  <w:num w:numId="8" w16cid:durableId="1467353707">
    <w:abstractNumId w:val="8"/>
  </w:num>
  <w:num w:numId="9" w16cid:durableId="496189236">
    <w:abstractNumId w:val="0"/>
  </w:num>
  <w:num w:numId="10" w16cid:durableId="157065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C8"/>
    <w:rsid w:val="00016D4B"/>
    <w:rsid w:val="00031A05"/>
    <w:rsid w:val="00047BB5"/>
    <w:rsid w:val="00054E0F"/>
    <w:rsid w:val="0005689D"/>
    <w:rsid w:val="00057901"/>
    <w:rsid w:val="00097D37"/>
    <w:rsid w:val="000B5955"/>
    <w:rsid w:val="000C4EB9"/>
    <w:rsid w:val="000C7A20"/>
    <w:rsid w:val="001015B8"/>
    <w:rsid w:val="00102073"/>
    <w:rsid w:val="00105CB7"/>
    <w:rsid w:val="00120FBD"/>
    <w:rsid w:val="00156A06"/>
    <w:rsid w:val="00164A53"/>
    <w:rsid w:val="00171EF8"/>
    <w:rsid w:val="00196DB1"/>
    <w:rsid w:val="001A06F0"/>
    <w:rsid w:val="001C43A7"/>
    <w:rsid w:val="001D103C"/>
    <w:rsid w:val="001E7EC1"/>
    <w:rsid w:val="00201DF9"/>
    <w:rsid w:val="00206A0F"/>
    <w:rsid w:val="002075D5"/>
    <w:rsid w:val="002439D0"/>
    <w:rsid w:val="002735E1"/>
    <w:rsid w:val="002C2656"/>
    <w:rsid w:val="002E1DF9"/>
    <w:rsid w:val="002F27DD"/>
    <w:rsid w:val="00300B91"/>
    <w:rsid w:val="00303AE7"/>
    <w:rsid w:val="003238A5"/>
    <w:rsid w:val="00334A6D"/>
    <w:rsid w:val="00336AB4"/>
    <w:rsid w:val="00337238"/>
    <w:rsid w:val="003404E9"/>
    <w:rsid w:val="00375082"/>
    <w:rsid w:val="003830DA"/>
    <w:rsid w:val="003A09F3"/>
    <w:rsid w:val="003A7405"/>
    <w:rsid w:val="003A797F"/>
    <w:rsid w:val="003A7C5C"/>
    <w:rsid w:val="003B1C86"/>
    <w:rsid w:val="003D63CD"/>
    <w:rsid w:val="003E4B50"/>
    <w:rsid w:val="003F00B7"/>
    <w:rsid w:val="003F4FC6"/>
    <w:rsid w:val="003F7B56"/>
    <w:rsid w:val="00403891"/>
    <w:rsid w:val="00425301"/>
    <w:rsid w:val="00437062"/>
    <w:rsid w:val="00437690"/>
    <w:rsid w:val="00460E8F"/>
    <w:rsid w:val="0046152C"/>
    <w:rsid w:val="00461DD3"/>
    <w:rsid w:val="00466120"/>
    <w:rsid w:val="004A4F32"/>
    <w:rsid w:val="004C2D1A"/>
    <w:rsid w:val="004D6040"/>
    <w:rsid w:val="004E2024"/>
    <w:rsid w:val="004F2A0F"/>
    <w:rsid w:val="004F2F55"/>
    <w:rsid w:val="005071C5"/>
    <w:rsid w:val="00520DDE"/>
    <w:rsid w:val="00537844"/>
    <w:rsid w:val="00544D42"/>
    <w:rsid w:val="0056788B"/>
    <w:rsid w:val="00571D99"/>
    <w:rsid w:val="00595289"/>
    <w:rsid w:val="005A46C0"/>
    <w:rsid w:val="005B6296"/>
    <w:rsid w:val="005C2FB5"/>
    <w:rsid w:val="005C6977"/>
    <w:rsid w:val="005E0A8A"/>
    <w:rsid w:val="00611793"/>
    <w:rsid w:val="00611C6F"/>
    <w:rsid w:val="006406B5"/>
    <w:rsid w:val="00645CCA"/>
    <w:rsid w:val="00671BBC"/>
    <w:rsid w:val="006B1AC9"/>
    <w:rsid w:val="006B52CE"/>
    <w:rsid w:val="006B666B"/>
    <w:rsid w:val="006C5E41"/>
    <w:rsid w:val="006C734D"/>
    <w:rsid w:val="00704F88"/>
    <w:rsid w:val="00735BD9"/>
    <w:rsid w:val="00737EFE"/>
    <w:rsid w:val="00753C37"/>
    <w:rsid w:val="0079041C"/>
    <w:rsid w:val="0079301D"/>
    <w:rsid w:val="00797343"/>
    <w:rsid w:val="007A01AC"/>
    <w:rsid w:val="007B5226"/>
    <w:rsid w:val="007C6C3B"/>
    <w:rsid w:val="007D2F7B"/>
    <w:rsid w:val="007E647B"/>
    <w:rsid w:val="007F1A78"/>
    <w:rsid w:val="008030AD"/>
    <w:rsid w:val="00822334"/>
    <w:rsid w:val="00823865"/>
    <w:rsid w:val="0084522F"/>
    <w:rsid w:val="0085240F"/>
    <w:rsid w:val="00854D81"/>
    <w:rsid w:val="008554B9"/>
    <w:rsid w:val="008800F4"/>
    <w:rsid w:val="00893696"/>
    <w:rsid w:val="0089530F"/>
    <w:rsid w:val="008C4E44"/>
    <w:rsid w:val="009009C4"/>
    <w:rsid w:val="009239ED"/>
    <w:rsid w:val="00963714"/>
    <w:rsid w:val="00982A02"/>
    <w:rsid w:val="00982E62"/>
    <w:rsid w:val="00985E7A"/>
    <w:rsid w:val="009909E6"/>
    <w:rsid w:val="00992390"/>
    <w:rsid w:val="009A5AE4"/>
    <w:rsid w:val="009A6E96"/>
    <w:rsid w:val="009A7C53"/>
    <w:rsid w:val="009C1D89"/>
    <w:rsid w:val="00A04473"/>
    <w:rsid w:val="00A0513B"/>
    <w:rsid w:val="00A206ED"/>
    <w:rsid w:val="00A33EC8"/>
    <w:rsid w:val="00A41893"/>
    <w:rsid w:val="00A460B7"/>
    <w:rsid w:val="00A8656C"/>
    <w:rsid w:val="00AB6E91"/>
    <w:rsid w:val="00AC74DA"/>
    <w:rsid w:val="00B12B47"/>
    <w:rsid w:val="00B41F92"/>
    <w:rsid w:val="00B442DA"/>
    <w:rsid w:val="00B50669"/>
    <w:rsid w:val="00B516E0"/>
    <w:rsid w:val="00B75A74"/>
    <w:rsid w:val="00B84E09"/>
    <w:rsid w:val="00B953B8"/>
    <w:rsid w:val="00BA2BF7"/>
    <w:rsid w:val="00BB6672"/>
    <w:rsid w:val="00BB6D37"/>
    <w:rsid w:val="00BC2D9D"/>
    <w:rsid w:val="00BE595E"/>
    <w:rsid w:val="00C03432"/>
    <w:rsid w:val="00C07B50"/>
    <w:rsid w:val="00C472C0"/>
    <w:rsid w:val="00C943DC"/>
    <w:rsid w:val="00CB2E80"/>
    <w:rsid w:val="00CC2829"/>
    <w:rsid w:val="00CE0B7F"/>
    <w:rsid w:val="00CF2D90"/>
    <w:rsid w:val="00D002B8"/>
    <w:rsid w:val="00D24B75"/>
    <w:rsid w:val="00D275C0"/>
    <w:rsid w:val="00D27F04"/>
    <w:rsid w:val="00D50C57"/>
    <w:rsid w:val="00D52963"/>
    <w:rsid w:val="00D764FE"/>
    <w:rsid w:val="00D92494"/>
    <w:rsid w:val="00DE31D7"/>
    <w:rsid w:val="00DF1CB3"/>
    <w:rsid w:val="00E13542"/>
    <w:rsid w:val="00E23DFD"/>
    <w:rsid w:val="00E30063"/>
    <w:rsid w:val="00E35042"/>
    <w:rsid w:val="00E623EF"/>
    <w:rsid w:val="00ED274F"/>
    <w:rsid w:val="00EE4865"/>
    <w:rsid w:val="00EF58D4"/>
    <w:rsid w:val="00EF5B02"/>
    <w:rsid w:val="00F02E55"/>
    <w:rsid w:val="00F67B4D"/>
    <w:rsid w:val="00F7088E"/>
    <w:rsid w:val="00F75E5D"/>
    <w:rsid w:val="00F803C8"/>
    <w:rsid w:val="00F903BC"/>
    <w:rsid w:val="00F93372"/>
    <w:rsid w:val="00FA076D"/>
    <w:rsid w:val="00FA6833"/>
    <w:rsid w:val="00FA797B"/>
    <w:rsid w:val="00FA7DA9"/>
    <w:rsid w:val="00FC38D1"/>
    <w:rsid w:val="00FE099D"/>
    <w:rsid w:val="00FE3153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E9727"/>
  <w15:chartTrackingRefBased/>
  <w15:docId w15:val="{23C2E1DE-D97E-495A-B2FB-7B0CA20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37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03C8"/>
  </w:style>
  <w:style w:type="paragraph" w:styleId="Bunntekst">
    <w:name w:val="footer"/>
    <w:basedOn w:val="Normal"/>
    <w:link w:val="BunntekstTegn"/>
    <w:uiPriority w:val="99"/>
    <w:unhideWhenUsed/>
    <w:rsid w:val="00F80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03C8"/>
  </w:style>
  <w:style w:type="character" w:customStyle="1" w:styleId="Overskrift2Tegn">
    <w:name w:val="Overskrift 2 Tegn"/>
    <w:basedOn w:val="Standardskriftforavsnitt"/>
    <w:link w:val="Overskrift2"/>
    <w:uiPriority w:val="9"/>
    <w:rsid w:val="0033723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372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75A7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F4FC6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03A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03A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03A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3A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03AE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2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86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824CD05FADA14C95DC9670FABB904E" ma:contentTypeVersion="12" ma:contentTypeDescription="Opprett et nytt dokument." ma:contentTypeScope="" ma:versionID="b5981fbf56cf5411f1ee9d6ab2744c1b">
  <xsd:schema xmlns:xsd="http://www.w3.org/2001/XMLSchema" xmlns:xs="http://www.w3.org/2001/XMLSchema" xmlns:p="http://schemas.microsoft.com/office/2006/metadata/properties" xmlns:ns2="87226bdc-267d-4e13-bb3b-51c6136e8a3a" xmlns:ns3="75fa1c81-cf0a-4f81-92f9-85f8881f1f1c" targetNamespace="http://schemas.microsoft.com/office/2006/metadata/properties" ma:root="true" ma:fieldsID="24a06c3f203191f384cc27b9326e5519" ns2:_="" ns3:_="">
    <xsd:import namespace="87226bdc-267d-4e13-bb3b-51c6136e8a3a"/>
    <xsd:import namespace="75fa1c81-cf0a-4f81-92f9-85f8881f1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6bdc-267d-4e13-bb3b-51c6136e8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a1c81-cf0a-4f81-92f9-85f8881f1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64CE4-3E8A-4FCA-BBF6-FAAD1ED47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26bdc-267d-4e13-bb3b-51c6136e8a3a"/>
    <ds:schemaRef ds:uri="75fa1c81-cf0a-4f81-92f9-85f8881f1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E7EF3-E52C-4456-AC3E-62B593CE70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871CB-9816-4B97-9D66-A30F49B05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Ivar Myhre</dc:creator>
  <cp:keywords/>
  <dc:description/>
  <cp:lastModifiedBy>Øystein Seljeflot</cp:lastModifiedBy>
  <cp:revision>2</cp:revision>
  <dcterms:created xsi:type="dcterms:W3CDTF">2022-06-02T13:39:00Z</dcterms:created>
  <dcterms:modified xsi:type="dcterms:W3CDTF">2022-06-02T13:39:00Z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0x0101001E824CD05FADA14C95DC9670FABB904E</vt:lpwstr>
  </property>
</Properties>
</file>